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23 108 vom 26. Mai 2023</w:t>
      </w:r>
    </w:p>
    <w:p>
      <w:r>
        <w:t>VS Kantonsgericht, 2023-05-26, FR</w:t>
      </w:r>
    </w:p>
    <w:p>
      <w:r>
        <w:rPr>
          <w:b/>
        </w:rPr>
        <w:t xml:space="preserve">Quelle: </w:t>
      </w:r>
      <w:r>
        <w:t>https://mcp.opencaselaw.ch/entscheid/vs_gerichte_C1 23 108</w:t>
      </w:r>
    </w:p>
    <w:p>
      <w:r>
        <w:t>FR: VS_GERICHTE C1 23 108 du 26 mai 2023</w:t>
      </w:r>
    </w:p>
    <w:p>
      <w:r>
        <w:t>IT: VS_GERICHTE C1 23 108 del 26 maggio 2023</w:t>
      </w:r>
    </w:p>
    <w:p>
      <w:pPr>
        <w:pStyle w:val="Heading2"/>
      </w:pPr>
      <w:r>
        <w:t>Regeste</w:t>
      </w:r>
    </w:p>
    <w:p>
      <w:r>
        <w:t>C1 23 108 ARRÊT DU 26 MAI 2023 Tribunal cantonal du Valais Autorité de recours en matière de protection de l'enfant et de l'adulte Camille Rey-Mermet, présidente ; Malika Hofer, greffière en la cause X _________, recourant, représenté par Maître Stefan Diezig, avocat à Visp contre Y _________, intimée au recours, représentée par Maître Beatrice Pilloud, avocate à Sion (remise des papiers d’identité) recours formé contre les décisions des 27 avril et 9 mai 2023 de l’Autorité de protection de l’enfant et de l’adulte de Sion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et 19 LTar), à la charge du recourant, qui conserve par ailleurs ses dépens ; par ces motifs,</w:t>
      </w:r>
    </w:p>
    <w:p>
      <w:r>
        <w:t>- 5 - prononce</w:t>
      </w:r>
    </w:p>
    <w:p>
      <w:r>
        <w:t>1. Le recours interjeté le 11 mai 2023 est déclaré irrecevable, dans la mesure où il n’est pas sans objet. 2. Les frais, par 500 fr., sont mis à la charge de X _________, qui conserve ses dépens.</w:t>
      </w:r>
    </w:p>
    <w:p>
      <w:r>
        <w:t>Sion, le 26 mai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